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51F" w:rsidRPr="00A601D9" w:rsidRDefault="0077751F" w:rsidP="0077751F">
      <w:pPr>
        <w:spacing w:before="0" w:line="240" w:lineRule="auto"/>
        <w:contextualSpacing/>
        <w:rPr>
          <w:rFonts w:eastAsiaTheme="minorHAnsi"/>
          <w:b/>
          <w:sz w:val="24"/>
          <w:szCs w:val="24"/>
        </w:rPr>
      </w:pPr>
      <w:r w:rsidRPr="00A601D9">
        <w:rPr>
          <w:rFonts w:eastAsiaTheme="minorHAnsi"/>
          <w:b/>
          <w:sz w:val="24"/>
          <w:szCs w:val="24"/>
        </w:rPr>
        <w:t>3.1 Mount Backboard</w:t>
      </w:r>
    </w:p>
    <w:p w:rsidR="0077751F" w:rsidRPr="00A601D9" w:rsidRDefault="006C6849" w:rsidP="0077751F">
      <w:pPr>
        <w:spacing w:before="0" w:line="240" w:lineRule="auto"/>
        <w:contextualSpacing/>
        <w:rPr>
          <w:rFonts w:eastAsiaTheme="minorHAnsi"/>
          <w:sz w:val="24"/>
          <w:szCs w:val="24"/>
        </w:rPr>
      </w:pPr>
      <w:r w:rsidRPr="006C6849">
        <w:rPr>
          <w:rFonts w:eastAsiaTheme="minorHAnsi"/>
          <w:sz w:val="24"/>
          <w:szCs w:val="24"/>
        </w:rPr>
        <w:t xml:space="preserve">Purchase a 2’ x </w:t>
      </w:r>
      <w:r>
        <w:rPr>
          <w:rFonts w:eastAsiaTheme="minorHAnsi"/>
          <w:sz w:val="24"/>
          <w:szCs w:val="24"/>
        </w:rPr>
        <w:t>2</w:t>
      </w:r>
      <w:r w:rsidRPr="006C6849">
        <w:rPr>
          <w:rFonts w:eastAsiaTheme="minorHAnsi"/>
          <w:sz w:val="24"/>
          <w:szCs w:val="24"/>
        </w:rPr>
        <w:t>’ backboard (smooth 3/4</w:t>
      </w:r>
      <w:proofErr w:type="gramStart"/>
      <w:r w:rsidRPr="006C6849">
        <w:rPr>
          <w:rFonts w:eastAsiaTheme="minorHAnsi"/>
          <w:sz w:val="24"/>
          <w:szCs w:val="24"/>
        </w:rPr>
        <w:t>“ plywood</w:t>
      </w:r>
      <w:proofErr w:type="gramEnd"/>
      <w:r w:rsidRPr="006C6849">
        <w:rPr>
          <w:rFonts w:eastAsiaTheme="minorHAnsi"/>
          <w:sz w:val="24"/>
          <w:szCs w:val="24"/>
        </w:rPr>
        <w:t xml:space="preserve"> or white melamine) </w:t>
      </w:r>
      <w:r w:rsidR="0077751F" w:rsidRPr="00A601D9">
        <w:rPr>
          <w:rFonts w:eastAsiaTheme="minorHAnsi"/>
          <w:sz w:val="24"/>
          <w:szCs w:val="24"/>
        </w:rPr>
        <w:t xml:space="preserve">secure </w:t>
      </w:r>
      <w:r w:rsidR="0077751F">
        <w:rPr>
          <w:rFonts w:eastAsiaTheme="minorHAnsi"/>
          <w:sz w:val="24"/>
          <w:szCs w:val="24"/>
        </w:rPr>
        <w:t xml:space="preserve">the white telecom </w:t>
      </w:r>
      <w:r w:rsidR="0077751F" w:rsidRPr="00A601D9">
        <w:rPr>
          <w:rFonts w:eastAsiaTheme="minorHAnsi"/>
          <w:sz w:val="24"/>
          <w:szCs w:val="24"/>
        </w:rPr>
        <w:t xml:space="preserve">backboard to wall using appropriate mounting hardware. The specific mounting location of the backboard will be determined by CEG during the check-in process. </w:t>
      </w:r>
    </w:p>
    <w:p w:rsidR="0077751F" w:rsidRPr="00A601D9" w:rsidRDefault="0077751F" w:rsidP="0077751F">
      <w:pPr>
        <w:spacing w:before="0" w:line="240" w:lineRule="auto"/>
        <w:contextualSpacing/>
        <w:rPr>
          <w:rFonts w:eastAsiaTheme="minorHAnsi"/>
          <w:sz w:val="24"/>
          <w:szCs w:val="24"/>
        </w:rPr>
      </w:pPr>
    </w:p>
    <w:p w:rsidR="0077751F" w:rsidRPr="00A601D9" w:rsidRDefault="0077751F" w:rsidP="0077751F">
      <w:pPr>
        <w:spacing w:before="0" w:line="240" w:lineRule="auto"/>
        <w:contextualSpacing/>
        <w:rPr>
          <w:rFonts w:eastAsiaTheme="minorHAnsi"/>
          <w:sz w:val="24"/>
          <w:szCs w:val="24"/>
        </w:rPr>
      </w:pPr>
      <w:r w:rsidRPr="00A601D9">
        <w:rPr>
          <w:rFonts w:eastAsiaTheme="minorHAnsi"/>
          <w:sz w:val="24"/>
          <w:szCs w:val="24"/>
        </w:rPr>
        <w:t xml:space="preserve">As a general rule, the top of the backboard should be mounted 6’ 6”from the floor and with the 2’ section of the backboard mounted horizontally.  Use four 2”molly </w:t>
      </w:r>
      <w:proofErr w:type="gramStart"/>
      <w:r w:rsidRPr="00A601D9">
        <w:rPr>
          <w:rFonts w:eastAsiaTheme="minorHAnsi"/>
          <w:sz w:val="24"/>
          <w:szCs w:val="24"/>
        </w:rPr>
        <w:t>screws</w:t>
      </w:r>
      <w:r w:rsidR="00B87103">
        <w:rPr>
          <w:rFonts w:eastAsiaTheme="minorHAnsi"/>
          <w:sz w:val="24"/>
          <w:szCs w:val="24"/>
        </w:rPr>
        <w:t>,</w:t>
      </w:r>
      <w:proofErr w:type="gramEnd"/>
      <w:r w:rsidR="007B4E4A">
        <w:rPr>
          <w:rFonts w:eastAsiaTheme="minorHAnsi"/>
          <w:sz w:val="24"/>
          <w:szCs w:val="24"/>
        </w:rPr>
        <w:t xml:space="preserve"> attach</w:t>
      </w:r>
      <w:r w:rsidRPr="00A601D9">
        <w:rPr>
          <w:rFonts w:eastAsiaTheme="minorHAnsi"/>
          <w:sz w:val="24"/>
          <w:szCs w:val="24"/>
        </w:rPr>
        <w:t xml:space="preserve"> 2” in from each corner of the backboard.</w:t>
      </w:r>
    </w:p>
    <w:p w:rsidR="0077751F" w:rsidRPr="00A601D9" w:rsidRDefault="0077751F" w:rsidP="0077751F">
      <w:pPr>
        <w:numPr>
          <w:ilvl w:val="0"/>
          <w:numId w:val="1"/>
        </w:numPr>
        <w:spacing w:before="0" w:line="240" w:lineRule="auto"/>
        <w:contextualSpacing/>
        <w:rPr>
          <w:rFonts w:eastAsiaTheme="minorHAnsi"/>
          <w:sz w:val="24"/>
          <w:szCs w:val="24"/>
          <w:u w:val="single"/>
        </w:rPr>
      </w:pPr>
      <w:r w:rsidRPr="00A601D9">
        <w:rPr>
          <w:rFonts w:eastAsiaTheme="minorHAnsi"/>
          <w:sz w:val="24"/>
          <w:szCs w:val="24"/>
        </w:rPr>
        <w:t xml:space="preserve">Do not attach the backboard where its presence will cause interference with existing infrastructure (doors, cabinetry, electrical, plumbing, etc.). </w:t>
      </w:r>
      <w:r w:rsidRPr="00A601D9">
        <w:rPr>
          <w:rFonts w:eastAsiaTheme="minorHAnsi"/>
          <w:sz w:val="24"/>
          <w:szCs w:val="24"/>
          <w:u w:val="single"/>
        </w:rPr>
        <w:t xml:space="preserve">Check for hidden plumbing or electrical wiring before drilling through wall. </w:t>
      </w:r>
    </w:p>
    <w:p w:rsidR="00A74426" w:rsidRDefault="007B4E4A">
      <w:bookmarkStart w:id="0" w:name="_GoBack"/>
      <w:bookmarkEnd w:id="0"/>
    </w:p>
    <w:sectPr w:rsidR="00A744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B7A89"/>
    <w:multiLevelType w:val="hybridMultilevel"/>
    <w:tmpl w:val="5A26F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161"/>
    <w:rsid w:val="00197B57"/>
    <w:rsid w:val="004F6161"/>
    <w:rsid w:val="006C6849"/>
    <w:rsid w:val="0077751F"/>
    <w:rsid w:val="007815E6"/>
    <w:rsid w:val="007B4E4A"/>
    <w:rsid w:val="00977F03"/>
    <w:rsid w:val="00B8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161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161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2015-02-13T17:01:00Z</dcterms:created>
  <dcterms:modified xsi:type="dcterms:W3CDTF">2015-02-13T17:01:00Z</dcterms:modified>
</cp:coreProperties>
</file>